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8C" w:rsidRPr="00FA48AA" w:rsidRDefault="0066398C" w:rsidP="0066398C">
      <w:pPr>
        <w:spacing w:afterLines="50" w:after="156"/>
        <w:rPr>
          <w:rFonts w:eastAsia="黑体"/>
          <w:sz w:val="32"/>
          <w:szCs w:val="32"/>
        </w:rPr>
      </w:pPr>
      <w:r w:rsidRPr="00FA48AA">
        <w:rPr>
          <w:rFonts w:eastAsia="黑体"/>
          <w:sz w:val="32"/>
          <w:szCs w:val="32"/>
        </w:rPr>
        <w:t>附件</w:t>
      </w:r>
    </w:p>
    <w:p w:rsidR="0066398C" w:rsidRPr="00FA48AA" w:rsidRDefault="0066398C" w:rsidP="0066398C">
      <w:pPr>
        <w:spacing w:line="700" w:lineRule="exact"/>
        <w:jc w:val="center"/>
        <w:rPr>
          <w:rFonts w:eastAsia="方正小标宋_GBK"/>
          <w:sz w:val="44"/>
          <w:szCs w:val="44"/>
        </w:rPr>
      </w:pPr>
      <w:r>
        <w:rPr>
          <w:rFonts w:eastAsia="方正小标宋_GBK" w:hint="eastAsia"/>
          <w:sz w:val="44"/>
          <w:szCs w:val="44"/>
        </w:rPr>
        <w:t>8</w:t>
      </w:r>
      <w:r w:rsidRPr="00FA48AA">
        <w:rPr>
          <w:rFonts w:eastAsia="方正小标宋_GBK"/>
          <w:sz w:val="44"/>
          <w:szCs w:val="44"/>
        </w:rPr>
        <w:t>个通过审查的矿山地质环境保护</w:t>
      </w:r>
    </w:p>
    <w:p w:rsidR="0066398C" w:rsidRPr="00FA48AA" w:rsidRDefault="0066398C" w:rsidP="0066398C">
      <w:pPr>
        <w:spacing w:line="700" w:lineRule="exact"/>
        <w:jc w:val="center"/>
        <w:rPr>
          <w:rFonts w:eastAsia="方正小标宋_GBK"/>
          <w:sz w:val="44"/>
          <w:szCs w:val="44"/>
        </w:rPr>
      </w:pPr>
      <w:r w:rsidRPr="00FA48AA">
        <w:rPr>
          <w:rFonts w:eastAsia="方正小标宋_GBK"/>
          <w:sz w:val="44"/>
          <w:szCs w:val="44"/>
        </w:rPr>
        <w:t>与土地复垦方案名单</w:t>
      </w:r>
    </w:p>
    <w:p w:rsidR="0066398C" w:rsidRPr="00FA48AA" w:rsidRDefault="0066398C" w:rsidP="006639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Change w:id="0">
          <w:tblGrid>
            <w:gridCol w:w="1051"/>
            <w:gridCol w:w="7471"/>
          </w:tblGrid>
        </w:tblGridChange>
      </w:tblGrid>
      <w:tr w:rsidR="0066398C" w:rsidRPr="00441BE0" w:rsidTr="00273C29">
        <w:trPr>
          <w:cantSplit/>
        </w:trPr>
        <w:tc>
          <w:tcPr>
            <w:tcW w:w="1051" w:type="dxa"/>
            <w:vAlign w:val="center"/>
          </w:tcPr>
          <w:p w:rsidR="0066398C" w:rsidRPr="007544F3" w:rsidRDefault="0066398C" w:rsidP="00273C29">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66398C" w:rsidRPr="007544F3" w:rsidRDefault="0066398C" w:rsidP="00273C29">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1</w:t>
            </w:r>
          </w:p>
        </w:tc>
        <w:tc>
          <w:tcPr>
            <w:tcW w:w="7471" w:type="dxa"/>
            <w:vAlign w:val="center"/>
          </w:tcPr>
          <w:p w:rsidR="0066398C" w:rsidRPr="00C068AE" w:rsidRDefault="0066398C" w:rsidP="00273C29">
            <w:pPr>
              <w:rPr>
                <w:rFonts w:ascii="仿宋_GB2312" w:eastAsia="仿宋_GB2312" w:hAnsi="宋体" w:hint="eastAsia"/>
                <w:sz w:val="32"/>
                <w:szCs w:val="32"/>
              </w:rPr>
            </w:pPr>
            <w:r w:rsidRPr="00C068AE">
              <w:rPr>
                <w:rFonts w:ascii="仿宋_GB2312" w:eastAsia="仿宋_GB2312" w:hAnsi="宋体" w:hint="eastAsia"/>
                <w:sz w:val="32"/>
                <w:szCs w:val="32"/>
              </w:rPr>
              <w:t>中国黄金集团中原矿业有限公司夜长坪钼矿矿山地质环境保护与土地复垦方案</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2</w:t>
            </w:r>
          </w:p>
        </w:tc>
        <w:tc>
          <w:tcPr>
            <w:tcW w:w="7471" w:type="dxa"/>
            <w:vAlign w:val="center"/>
          </w:tcPr>
          <w:p w:rsidR="0066398C" w:rsidRPr="00C068AE" w:rsidRDefault="0066398C" w:rsidP="00273C29">
            <w:pPr>
              <w:rPr>
                <w:rFonts w:ascii="仿宋_GB2312" w:eastAsia="仿宋_GB2312" w:hAnsi="宋体" w:hint="eastAsia"/>
                <w:sz w:val="32"/>
                <w:szCs w:val="32"/>
              </w:rPr>
            </w:pPr>
            <w:r w:rsidRPr="00C068AE">
              <w:rPr>
                <w:rFonts w:ascii="仿宋_GB2312" w:eastAsia="仿宋_GB2312" w:hAnsi="宋体" w:hint="eastAsia"/>
                <w:sz w:val="32"/>
                <w:szCs w:val="32"/>
              </w:rPr>
              <w:t>内蒙古玉龙矿业股份有限公司西乌珠穆</w:t>
            </w:r>
            <w:proofErr w:type="gramStart"/>
            <w:r w:rsidRPr="00C068AE">
              <w:rPr>
                <w:rFonts w:ascii="仿宋_GB2312" w:eastAsia="仿宋_GB2312" w:hAnsi="宋体" w:hint="eastAsia"/>
                <w:sz w:val="32"/>
                <w:szCs w:val="32"/>
              </w:rPr>
              <w:t>沁旗花敖包特</w:t>
            </w:r>
            <w:proofErr w:type="gramEnd"/>
            <w:r w:rsidRPr="00C068AE">
              <w:rPr>
                <w:rFonts w:ascii="仿宋_GB2312" w:eastAsia="仿宋_GB2312" w:hAnsi="宋体" w:hint="eastAsia"/>
                <w:sz w:val="32"/>
                <w:szCs w:val="32"/>
              </w:rPr>
              <w:t>银铅矿矿山地质环境保护与土地复垦方案</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3</w:t>
            </w:r>
          </w:p>
        </w:tc>
        <w:tc>
          <w:tcPr>
            <w:tcW w:w="7471" w:type="dxa"/>
            <w:vAlign w:val="center"/>
          </w:tcPr>
          <w:p w:rsidR="0066398C" w:rsidRPr="00C068AE" w:rsidRDefault="0066398C" w:rsidP="00273C29">
            <w:pPr>
              <w:rPr>
                <w:rFonts w:ascii="仿宋_GB2312" w:eastAsia="仿宋_GB2312" w:hAnsi="宋体" w:hint="eastAsia"/>
                <w:sz w:val="32"/>
                <w:szCs w:val="32"/>
              </w:rPr>
            </w:pPr>
            <w:r w:rsidRPr="00C068AE">
              <w:rPr>
                <w:rFonts w:ascii="仿宋_GB2312" w:eastAsia="仿宋_GB2312" w:hAnsi="宋体" w:hint="eastAsia"/>
                <w:sz w:val="32"/>
                <w:szCs w:val="32"/>
              </w:rPr>
              <w:t>梅州市梅雁矿业有限公司</w:t>
            </w:r>
            <w:proofErr w:type="gramStart"/>
            <w:r w:rsidRPr="00C068AE">
              <w:rPr>
                <w:rFonts w:ascii="仿宋_GB2312" w:eastAsia="仿宋_GB2312" w:hAnsi="宋体" w:hint="eastAsia"/>
                <w:sz w:val="32"/>
                <w:szCs w:val="32"/>
              </w:rPr>
              <w:t>嵩</w:t>
            </w:r>
            <w:proofErr w:type="gramEnd"/>
            <w:r w:rsidRPr="00C068AE">
              <w:rPr>
                <w:rFonts w:ascii="仿宋_GB2312" w:eastAsia="仿宋_GB2312" w:hAnsi="宋体" w:hint="eastAsia"/>
                <w:sz w:val="32"/>
                <w:szCs w:val="32"/>
              </w:rPr>
              <w:t>溪锑银矿矿山地质环境保护与土地复垦方案</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4</w:t>
            </w:r>
          </w:p>
        </w:tc>
        <w:tc>
          <w:tcPr>
            <w:tcW w:w="7471" w:type="dxa"/>
            <w:vAlign w:val="center"/>
          </w:tcPr>
          <w:p w:rsidR="0066398C" w:rsidRPr="00C068AE" w:rsidRDefault="0066398C" w:rsidP="00273C29">
            <w:pPr>
              <w:rPr>
                <w:rFonts w:ascii="仿宋_GB2312" w:eastAsia="仿宋_GB2312" w:hAnsi="宋体" w:hint="eastAsia"/>
                <w:sz w:val="32"/>
                <w:szCs w:val="32"/>
              </w:rPr>
            </w:pPr>
            <w:r w:rsidRPr="00C068AE">
              <w:rPr>
                <w:rFonts w:ascii="仿宋_GB2312" w:eastAsia="仿宋_GB2312" w:hAnsi="宋体" w:hint="eastAsia"/>
                <w:sz w:val="32"/>
                <w:szCs w:val="32"/>
              </w:rPr>
              <w:t>中国石油天然气股份有限公司黑龙江省松辽盆地高西油田开采矿山地质环境保护与土地复垦方案</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5</w:t>
            </w:r>
          </w:p>
        </w:tc>
        <w:tc>
          <w:tcPr>
            <w:tcW w:w="7471" w:type="dxa"/>
            <w:vAlign w:val="center"/>
          </w:tcPr>
          <w:p w:rsidR="0066398C" w:rsidRPr="00C068AE" w:rsidRDefault="0066398C" w:rsidP="00273C29">
            <w:pPr>
              <w:rPr>
                <w:rFonts w:ascii="仿宋_GB2312" w:eastAsia="仿宋_GB2312" w:hAnsi="宋体" w:hint="eastAsia"/>
                <w:sz w:val="32"/>
                <w:szCs w:val="32"/>
              </w:rPr>
            </w:pPr>
            <w:r w:rsidRPr="00C068AE">
              <w:rPr>
                <w:rFonts w:ascii="仿宋_GB2312" w:eastAsia="仿宋_GB2312" w:hAnsi="宋体" w:hint="eastAsia"/>
                <w:sz w:val="32"/>
                <w:szCs w:val="32"/>
              </w:rPr>
              <w:t>中国石油天然气股份有限公司青海柴达木盆地咸水</w:t>
            </w:r>
            <w:proofErr w:type="gramStart"/>
            <w:r w:rsidRPr="00C068AE">
              <w:rPr>
                <w:rFonts w:ascii="仿宋_GB2312" w:eastAsia="仿宋_GB2312" w:hAnsi="宋体" w:hint="eastAsia"/>
                <w:sz w:val="32"/>
                <w:szCs w:val="32"/>
              </w:rPr>
              <w:t>泉地区</w:t>
            </w:r>
            <w:proofErr w:type="gramEnd"/>
            <w:r w:rsidRPr="00C068AE">
              <w:rPr>
                <w:rFonts w:ascii="仿宋_GB2312" w:eastAsia="仿宋_GB2312" w:hAnsi="宋体" w:hint="eastAsia"/>
                <w:sz w:val="32"/>
                <w:szCs w:val="32"/>
              </w:rPr>
              <w:t>石油开采矿山地质环境保护与土地复垦方案</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6</w:t>
            </w:r>
          </w:p>
        </w:tc>
        <w:tc>
          <w:tcPr>
            <w:tcW w:w="7471" w:type="dxa"/>
            <w:vAlign w:val="center"/>
          </w:tcPr>
          <w:p w:rsidR="0066398C" w:rsidRPr="00127D50" w:rsidRDefault="0066398C" w:rsidP="00273C29">
            <w:pPr>
              <w:rPr>
                <w:rFonts w:ascii="仿宋_GB2312" w:eastAsia="仿宋_GB2312" w:hAnsi="Calibri" w:hint="eastAsia"/>
                <w:sz w:val="32"/>
                <w:szCs w:val="32"/>
              </w:rPr>
            </w:pPr>
            <w:r w:rsidRPr="00C068AE">
              <w:rPr>
                <w:rFonts w:ascii="仿宋_GB2312" w:eastAsia="仿宋_GB2312" w:hAnsi="宋体" w:hint="eastAsia"/>
                <w:sz w:val="32"/>
                <w:szCs w:val="32"/>
              </w:rPr>
              <w:t>连平县珠江矿业有限公司连平县锯</w:t>
            </w:r>
            <w:proofErr w:type="gramStart"/>
            <w:r w:rsidRPr="00C068AE">
              <w:rPr>
                <w:rFonts w:ascii="仿宋_GB2312" w:eastAsia="仿宋_GB2312" w:hAnsi="宋体" w:hint="eastAsia"/>
                <w:sz w:val="32"/>
                <w:szCs w:val="32"/>
              </w:rPr>
              <w:t>板坑钨</w:t>
            </w:r>
            <w:proofErr w:type="gramEnd"/>
            <w:r w:rsidRPr="00C068AE">
              <w:rPr>
                <w:rFonts w:ascii="仿宋_GB2312" w:eastAsia="仿宋_GB2312" w:hAnsi="宋体" w:hint="eastAsia"/>
                <w:sz w:val="32"/>
                <w:szCs w:val="32"/>
              </w:rPr>
              <w:t>锡多金属</w:t>
            </w:r>
            <w:proofErr w:type="gramStart"/>
            <w:r w:rsidRPr="00C068AE">
              <w:rPr>
                <w:rFonts w:ascii="仿宋_GB2312" w:eastAsia="仿宋_GB2312" w:hAnsi="宋体" w:hint="eastAsia"/>
                <w:sz w:val="32"/>
                <w:szCs w:val="32"/>
              </w:rPr>
              <w:t>矿</w:t>
            </w:r>
            <w:proofErr w:type="gramEnd"/>
            <w:r w:rsidRPr="00C068AE">
              <w:rPr>
                <w:rFonts w:ascii="仿宋_GB2312" w:eastAsia="仿宋_GB2312" w:hAnsi="宋体" w:hint="eastAsia"/>
                <w:sz w:val="32"/>
                <w:szCs w:val="32"/>
              </w:rPr>
              <w:t>矿山地质环境保护与土地复垦方案</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7</w:t>
            </w:r>
          </w:p>
        </w:tc>
        <w:tc>
          <w:tcPr>
            <w:tcW w:w="7471" w:type="dxa"/>
            <w:vAlign w:val="center"/>
          </w:tcPr>
          <w:p w:rsidR="0066398C" w:rsidRPr="00C068AE" w:rsidRDefault="0066398C" w:rsidP="00273C29">
            <w:pPr>
              <w:rPr>
                <w:rFonts w:ascii="仿宋_GB2312" w:eastAsia="仿宋_GB2312" w:hAnsi="宋体" w:hint="eastAsia"/>
                <w:sz w:val="32"/>
                <w:szCs w:val="32"/>
              </w:rPr>
            </w:pPr>
            <w:r w:rsidRPr="00C068AE">
              <w:rPr>
                <w:rFonts w:ascii="仿宋_GB2312" w:eastAsia="仿宋_GB2312" w:hAnsi="宋体" w:hint="eastAsia"/>
                <w:sz w:val="32"/>
                <w:szCs w:val="32"/>
              </w:rPr>
              <w:t>济宁矿业集团有限公司安居煤矿矿山地质环境保护与土地复垦方案</w:t>
            </w:r>
          </w:p>
        </w:tc>
      </w:tr>
      <w:tr w:rsidR="0066398C" w:rsidRPr="00441BE0" w:rsidTr="00273C29">
        <w:trPr>
          <w:cantSplit/>
        </w:trPr>
        <w:tc>
          <w:tcPr>
            <w:tcW w:w="1051" w:type="dxa"/>
            <w:vAlign w:val="center"/>
          </w:tcPr>
          <w:p w:rsidR="0066398C" w:rsidRPr="00E6791C" w:rsidRDefault="0066398C" w:rsidP="00273C29">
            <w:pPr>
              <w:jc w:val="center"/>
              <w:rPr>
                <w:rFonts w:ascii="仿宋_GB2312" w:eastAsia="仿宋_GB2312" w:hAnsi="仿宋_GB2312" w:cs="仿宋_GB2312" w:hint="eastAsia"/>
                <w:sz w:val="32"/>
                <w:szCs w:val="32"/>
              </w:rPr>
            </w:pPr>
            <w:r w:rsidRPr="00E6791C">
              <w:rPr>
                <w:rFonts w:ascii="仿宋_GB2312" w:eastAsia="仿宋_GB2312" w:hAnsi="宋体" w:hint="eastAsia"/>
                <w:b/>
                <w:sz w:val="32"/>
                <w:szCs w:val="32"/>
              </w:rPr>
              <w:t>8</w:t>
            </w:r>
          </w:p>
        </w:tc>
        <w:tc>
          <w:tcPr>
            <w:tcW w:w="7471" w:type="dxa"/>
            <w:vAlign w:val="center"/>
          </w:tcPr>
          <w:p w:rsidR="0066398C" w:rsidRPr="00C068AE" w:rsidRDefault="0066398C" w:rsidP="00273C29">
            <w:pPr>
              <w:rPr>
                <w:rFonts w:ascii="仿宋_GB2312" w:eastAsia="仿宋_GB2312" w:hAnsi="宋体" w:hint="eastAsia"/>
                <w:sz w:val="32"/>
                <w:szCs w:val="32"/>
              </w:rPr>
            </w:pPr>
            <w:r w:rsidRPr="00C068AE">
              <w:rPr>
                <w:rFonts w:ascii="仿宋_GB2312" w:eastAsia="仿宋_GB2312" w:hAnsi="宋体" w:hint="eastAsia"/>
                <w:sz w:val="32"/>
                <w:szCs w:val="32"/>
              </w:rPr>
              <w:t>山东新矿赵官能源有限责任公司矿山地质环境保护与土地复垦方案</w:t>
            </w:r>
          </w:p>
        </w:tc>
      </w:tr>
    </w:tbl>
    <w:p w:rsidR="00D45D17" w:rsidRPr="0066398C" w:rsidRDefault="00D45D17">
      <w:bookmarkStart w:id="1" w:name="_GoBack"/>
      <w:bookmarkEnd w:id="1"/>
    </w:p>
    <w:sectPr w:rsidR="00D45D17" w:rsidRPr="006639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8C"/>
    <w:rsid w:val="0066398C"/>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9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66398C"/>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9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66398C"/>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dc:creator>
  <cp:lastModifiedBy>陈卉(陈卉:)</cp:lastModifiedBy>
  <cp:revision>1</cp:revision>
  <dcterms:created xsi:type="dcterms:W3CDTF">2019-05-22T01:21:00Z</dcterms:created>
  <dcterms:modified xsi:type="dcterms:W3CDTF">2019-05-22T01:21:00Z</dcterms:modified>
</cp:coreProperties>
</file>